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Zadavatel příručka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v souladu s ustanovením § 31 ZZVZ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6D19ED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Zadavatel příručka</w:t>
      </w:r>
    </w:p>
    <w:p w:rsidR="00B73E2E" w:rsidP="00B73E2E" w14:paraId="39530756" w14:textId="77777777">
      <w:r w:rsidRPr="00E45B79">
        <w:t xml:space="preserve"> </w:t>
      </w:r>
    </w:p>
    <w:p w:rsidR="00B73E2E" w:rsidP="00B73E2E" w14:paraId="642554E5" w14:textId="77777777">
      <w:r w:rsidRPr="00E45B79">
        <w:rPr>
          <w:lang w:val="en-US"/>
        </w:rPr>
        <w:t>45634</w:t>
      </w:r>
      <w:r w:rsidRPr="00E45B79">
        <w:t xml:space="preserve">, </w:t>
      </w:r>
      <w:r w:rsidRPr="00E45B79">
        <w:rPr>
          <w:lang w:val="en-US"/>
        </w:rPr>
        <w:t>Olomouc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01832633</w:t>
      </w:r>
    </w:p>
    <w:p w:rsidR="005B570A" w:rsidP="008510CE" w14:paraId="1C6A5B29" w14:textId="77777777"/>
    <w:p w:rsidR="008510CE" w:rsidRPr="00351810" w:rsidP="008510CE" w14:paraId="514355B1" w14:textId="2EF1B539"/>
    <w:p w:rsidR="006032CF" w:rsidP="008510CE" w14:paraId="0369BC76" w14:textId="2F36FB3D">
      <w:r w:rsidRPr="00351810">
        <w:t xml:space="preserve">Kontaktní osoba: </w:t>
      </w:r>
      <w:r w:rsidRPr="00351810">
        <w:rPr>
          <w:lang w:val="en-US"/>
        </w:rPr>
        <w:t>Felix</w:t>
      </w:r>
      <w:r w:rsidRPr="00351810">
        <w:t xml:space="preserve"> </w:t>
      </w:r>
      <w:r w:rsidRPr="00351810">
        <w:rPr>
          <w:lang w:val="en-US"/>
        </w:rPr>
        <w:t>Okátý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+420 123456789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vendula.zatloukalova@tescosw.cz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P="006D19ED" w14:paraId="547F26F4" w14:textId="4D25C23E">
      <w:pPr>
        <w:pStyle w:val="Heading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Ovoce a ořechy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dodávky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N006/23/V00008750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P="00E17873" w14:paraId="5968AF91" w14:textId="154A884B">
      <w:pPr>
        <w:jc w:val="left"/>
        <w:rPr>
          <w:color w:val="1F497D" w:themeColor="text2"/>
          <w:sz w:val="16"/>
          <w:szCs w:val="16"/>
          <w:lang w:val="en-US"/>
        </w:rPr>
      </w:pPr>
      <w:r w:rsidRPr="000C148F" w:rsidR="007F57FD">
        <w:rPr>
          <w:color w:val="1F497D" w:themeColor="text2"/>
          <w:sz w:val="16"/>
          <w:szCs w:val="16"/>
          <w:lang w:val="en-US"/>
        </w:rPr>
        <w:t xml:space="preserve"> </w:t>
      </w:r>
    </w:p>
    <w:p w:rsidR="00C24645" w:rsidP="00C24645" w14:paraId="7C3741C0" w14:textId="77777777">
      <w:pPr>
        <w:keepNext/>
        <w:spacing w:before="240" w:after="120"/>
        <w:contextualSpacing/>
        <w:jc w:val="left"/>
        <w:rPr>
          <w:color w:val="000000" w:themeColor="text1"/>
        </w:rPr>
      </w:pPr>
      <w:r>
        <w:rPr>
          <w:bCs/>
          <w:color w:val="000000" w:themeColor="text1"/>
        </w:rPr>
        <w:t xml:space="preserve">Název předmětu: </w:t>
      </w:r>
      <w:r w:rsidRPr="00AB097D">
        <w:rPr>
          <w:color w:val="000000" w:themeColor="text1"/>
        </w:rPr>
        <w:t>Ovoce a ořechy</w:t>
      </w:r>
    </w:p>
    <w:p w:rsidR="00C24645" w:rsidP="00C24645" w14:paraId="6EE256A9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</w:p>
    <w:p w:rsidR="00C24645" w:rsidP="00C24645" w14:paraId="7C239198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NIPEZ: </w:t>
      </w:r>
      <w:r w:rsidRPr="00AB097D">
        <w:rPr>
          <w:color w:val="000000" w:themeColor="text1"/>
        </w:rPr>
        <w:t>03222000-3</w:t>
      </w:r>
      <w:r>
        <w:rPr>
          <w:color w:val="000000" w:themeColor="text1"/>
        </w:rPr>
        <w:t xml:space="preserve"> - </w:t>
      </w:r>
      <w:r w:rsidRPr="00AB097D">
        <w:rPr>
          <w:color w:val="000000" w:themeColor="text1"/>
        </w:rPr>
        <w:t>Ovoce a ořechy</w:t>
      </w:r>
    </w:p>
    <w:p w:rsidR="00C24645" w:rsidP="00C24645" w14:paraId="7B956C53" w14:textId="77777777">
      <w:pPr>
        <w:keepNext/>
        <w:spacing w:before="240" w:after="120"/>
        <w:contextualSpacing/>
        <w:jc w:val="left"/>
        <w:rPr>
          <w:color w:val="000000" w:themeColor="text1"/>
        </w:rPr>
      </w:pPr>
      <w:r>
        <w:rPr>
          <w:bCs/>
          <w:color w:val="000000" w:themeColor="text1"/>
        </w:rPr>
        <w:t xml:space="preserve">CPV: </w:t>
      </w:r>
      <w:r w:rsidRPr="00AB097D">
        <w:rPr>
          <w:color w:val="000000" w:themeColor="text1"/>
        </w:rPr>
        <w:t>03222000-3</w:t>
      </w:r>
      <w:r>
        <w:rPr>
          <w:color w:val="000000" w:themeColor="text1"/>
        </w:rPr>
        <w:t xml:space="preserve"> - </w:t>
      </w:r>
      <w:r w:rsidRPr="00AB097D">
        <w:rPr>
          <w:color w:val="000000" w:themeColor="text1"/>
        </w:rPr>
        <w:t>Ovoce a ořechy</w:t>
      </w:r>
    </w:p>
    <w:p w:rsidR="00E17873" w:rsidP="00C02E30" w14:paraId="261B23FB" w14:textId="0DC0F132">
      <w:pPr>
        <w:keepNext/>
        <w:ind w:left="284"/>
        <w:jc w:val="left"/>
        <w:rPr>
          <w:bCs/>
          <w:color w:val="000000" w:themeColor="text1"/>
        </w:rPr>
      </w:pPr>
    </w:p>
    <w:p w:rsidR="00C24645" w:rsidRPr="00C24645" w:rsidP="00C24645" w14:paraId="3067AD1D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C24645">
        <w:rPr>
          <w:bCs/>
          <w:color w:val="000000" w:themeColor="text1"/>
        </w:rPr>
        <w:t>Stručný popis předmětu VZ:</w:t>
      </w:r>
    </w:p>
    <w:p w:rsidR="00C24645" w:rsidRPr="00AB097D" w:rsidP="00C24645" w14:paraId="3DF1B19A" w14:textId="1A653064">
      <w:pPr>
        <w:keepNext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ořechů a ovoce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204"/>
        <w:gridCol w:w="1458"/>
        <w:gridCol w:w="1217"/>
        <w:gridCol w:w="1466"/>
        <w:gridCol w:w="1217"/>
        <w:gridCol w:w="1513"/>
        <w:gridCol w:w="1844"/>
        <w:gridCol w:w="236"/>
      </w:tblGrid>
      <w:tr w14:paraId="7F367690" w14:textId="62A60C03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745" w:type="pct"/>
            <w:vAlign w:val="center"/>
          </w:tcPr>
          <w:p w:rsidR="00145662" w:rsidRPr="00AB097D" w:rsidP="00C74358" w14:paraId="44F7704F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908" w:type="pct"/>
            <w:vAlign w:val="center"/>
          </w:tcPr>
          <w:p w:rsidR="00145662" w:rsidRPr="00AB097D" w:rsidP="00C74358" w14:paraId="639C5359" w14:textId="7F2793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r w:rsidRPr="00AB097D" w:rsidR="00A233E2">
              <w:rPr>
                <w:rFonts w:ascii="Times New Roman" w:hAnsi="Times New Roman" w:cs="Times New Roman"/>
                <w:b/>
                <w:color w:val="000000" w:themeColor="text1"/>
              </w:rPr>
              <w:t>ednotka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Banány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03222111-4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Banány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03222111-4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Banány</w:t>
            </w:r>
          </w:p>
        </w:tc>
        <w:tc>
          <w:tcPr>
            <w:tcW w:w="745" w:type="pct"/>
            <w:vAlign w:val="center"/>
          </w:tcPr>
          <w:p w:rsidR="00145662" w:rsidRPr="00AB097D" w:rsidP="009B58A6" w14:paraId="1268A3A2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908" w:type="pct"/>
            <w:vAlign w:val="center"/>
          </w:tcPr>
          <w:p w:rsidR="00145662" w:rsidRPr="009A30CD" w:rsidP="009A30CD" w14:paraId="535A31C7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  <w:bookmarkStart w:id="3" w:name="_GoBack"/>
            <w:bookmarkEnd w:id="3"/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Hrušky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03222322-6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Hrušky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03222322-6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Hrušky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Jablka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03222321-9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Jablka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03222321-9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Jablka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Kokosové ořechy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03222120-0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Kokosové ořechy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03222120-0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Kokosové ořechy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150,00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ks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Mango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03222113-8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Mango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03222113-8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Mango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Pražené nebo solené ořechy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15332310-0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Pražené nebo solené ořechy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15332310-0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Pražené nebo solené ořechy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36,00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/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Upravené ořechy</w:t>
            </w:r>
          </w:p>
        </w:tc>
        <w:tc>
          <w:tcPr>
            <w:tcW w:w="718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15332300-7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Upravené ořechy</w:t>
            </w:r>
          </w:p>
        </w:tc>
        <w:tc>
          <w:tcPr>
            <w:tcW w:w="722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15332300-7</w:t>
            </w:r>
          </w:p>
        </w:tc>
        <w:tc>
          <w:tcPr>
            <w:tcW w:w="599" w:type="pct"/>
            <w:vAlign w:val="center"/>
          </w:tcPr>
          <w:p w:rsidR="00145662" w:rsidRPr="00AB097D" w:rsidP="00C74358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Upravené ořechy</w:t>
            </w:r>
          </w:p>
        </w:tc>
        <w:tc>
          <w:tcPr>
            <w:tcW w:w="745" w:type="pct"/>
            <w:vAlign w:val="center"/>
          </w:tcPr>
          <w:p w:rsidR="00145662" w:rsidRPr="00AB097D" w:rsidP="009B58A6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908" w:type="pct"/>
            <w:vAlign w:val="center"/>
          </w:tcPr>
          <w:p w:rsidR="00145662" w:rsidRPr="009A30CD" w:rsidP="009A30CD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KGM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Banány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Hrušky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Jablka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Kokosové ořechy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Mango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Pražené nebo solené ořechy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B42812" w:rsidRPr="002E5A57" w:rsidP="00AB097D" w14:textId="22EDB2A9">
      <w:pPr>
        <w:ind w:left="284"/>
        <w:jc w:val="left"/>
      </w:pPr>
    </w:p>
    <w:p w:rsidR="00E17873" w:rsidRPr="002E5A57" w:rsidP="00AB097D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Upravené ořechy</w:t>
      </w:r>
    </w:p>
    <w:p w:rsidR="00E17873" w:rsidRPr="002E5A57" w:rsidP="00F81FD5" w14:textId="77777777">
      <w:pPr>
        <w:ind w:left="284"/>
        <w:jc w:val="left"/>
      </w:pPr>
    </w:p>
    <w:p w:rsidR="00E17873" w:rsidRPr="004218D4" w:rsidP="00AB097D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AB097D" w14:paraId="6079909C" w14:textId="77777777">
      <w:pPr>
        <w:keepNext/>
        <w:ind w:left="284"/>
        <w:jc w:val="left"/>
      </w:pPr>
      <w:r w:rsidRPr="002E5A57">
        <w:t>Jedná se o ořechy v bílé a mléčné čokoládě.</w:t>
      </w:r>
    </w:p>
    <w:p w:rsidR="00CF465C" w:rsidRPr="007B5B89" w:rsidP="00B15D27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P="00CD0CAD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A65BF3" w:rsidP="0035470A" w14:paraId="332EAE72" w14:textId="03F54884">
      <w:r>
        <w:t xml:space="preserve">Hlavní místo plnění veřejné zakázky: </w:t>
      </w:r>
      <w:r>
        <w:t>Hlavní město Praha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926E74" w:rsidP="006D19ED" w14:paraId="68FE45D5" w14:textId="401D1D8D">
      <w:pPr>
        <w:pStyle w:val="Heading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P="00926E74" w14:paraId="328BB048" w14:textId="77777777">
      <w:pPr>
        <w:widowControl w:val="0"/>
        <w:ind w:right="-108"/>
        <w:rPr>
          <w:bCs/>
        </w:rPr>
      </w:pPr>
    </w:p>
    <w:p w:rsidR="00926E74" w:rsidP="00926E74" w14:paraId="33F69558" w14:textId="7777777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kritéria</w:t>
      </w:r>
      <w:r>
        <w:rPr>
          <w:bCs/>
        </w:rPr>
        <w:t xml:space="preserve"> </w:t>
      </w:r>
      <w:r>
        <w:rPr>
          <w:bCs/>
        </w:rPr>
        <w:t>Nabídková cena</w:t>
      </w:r>
      <w:r>
        <w:rPr>
          <w:bCs/>
        </w:rPr>
        <w:t xml:space="preserve"> (</w:t>
      </w:r>
      <w:r>
        <w:rPr>
          <w:bCs/>
        </w:rPr>
        <w:t>K001</w:t>
      </w:r>
      <w:r>
        <w:rPr>
          <w:bCs/>
        </w:rPr>
        <w:t xml:space="preserve">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P="00926E74" w14:paraId="0B53CAA4" w14:textId="77777777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926E74" w:rsidP="00926E74" w14:paraId="28919DBE" w14:textId="77777777">
      <w:pPr>
        <w:widowControl w:val="0"/>
        <w:ind w:right="-108"/>
        <w:rPr>
          <w:bCs/>
        </w:rPr>
      </w:pPr>
    </w:p>
    <w:p w:rsidR="00082D29" w:rsidRPr="00082D29" w:rsidP="008510CE" w14:paraId="375EC0CB" w14:textId="1B0A4BF2">
      <w:pPr>
        <w:rPr>
          <w:u w:val="single"/>
        </w:rPr>
      </w:pPr>
    </w:p>
    <w:p w:rsidR="00EB1B92" w:rsidRPr="006840C0" w:rsidP="00153CD5" w14:paraId="65E2DB3A" w14:textId="6FD366E0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P="00CD02E3" w14:paraId="28AF7904" w14:textId="5AAAF248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P="00324BCF" w14:paraId="6EC25362" w14:textId="77777777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P="00324BCF" w14:paraId="3005DB00" w14:textId="77777777">
      <w:pPr>
        <w:jc w:val="left"/>
      </w:pPr>
    </w:p>
    <w:p w:rsidR="00324BCF" w:rsidP="00324BCF" w14:paraId="431C545D" w14:textId="38BE3C56">
      <w:pPr>
        <w:jc w:val="left"/>
      </w:pPr>
      <w:r>
        <w:t xml:space="preserve">Zadavatel bude </w:t>
      </w:r>
      <w:r>
        <w:t xml:space="preserve">nabídky </w:t>
      </w:r>
      <w:r>
        <w:t>hodnotit podle jejich ekonomické výhodnosti.</w:t>
      </w:r>
    </w:p>
    <w:p w:rsidR="00067CD4" w:rsidP="00324BCF" w14:paraId="4FDF7FCE" w14:textId="6E51F9AE">
      <w:pPr>
        <w:jc w:val="left"/>
        <w:rPr>
          <w:bCs/>
        </w:rPr>
      </w:pPr>
    </w:p>
    <w:p w:rsidR="00324BCF" w:rsidP="00324BCF" w14:paraId="337A4DBD" w14:textId="287AC8F1">
      <w:pPr>
        <w:jc w:val="left"/>
        <w:rPr>
          <w:b/>
          <w:bCs/>
        </w:rPr>
      </w:pPr>
      <w:r>
        <w:rPr>
          <w:bCs/>
        </w:rPr>
        <w:t>Zadavatel zvolil kritériem hodnocení</w:t>
      </w:r>
      <w:r>
        <w:rPr>
          <w:b/>
          <w:bCs/>
        </w:rPr>
        <w:t xml:space="preserve"> nejvýhodnější poměr nabídkové ceny a kvality.</w:t>
      </w:r>
    </w:p>
    <w:p w:rsidR="0070402B" w:rsidP="006055CD" w14:paraId="3A8E5E70" w14:textId="77777777">
      <w:pPr>
        <w:jc w:val="left"/>
      </w:pPr>
    </w:p>
    <w:p w:rsidR="0070402B" w:rsidP="00DB13DA" w14:paraId="02C9B8A5" w14:textId="77777777">
      <w:pPr>
        <w:keepNext/>
        <w:jc w:val="left"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P="00DB13DA" w14:paraId="0FBD5023" w14:textId="77777777">
      <w:pPr>
        <w:keepNext/>
        <w:jc w:val="left"/>
      </w:pPr>
    </w:p>
    <w:p w:rsidR="0001135D" w:rsidRPr="0001135D" w:rsidP="0001135D" w14:paraId="6CB7F90D" w14:textId="77777777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Pr="00644EE7">
        <w:rPr>
          <w:bCs/>
        </w:rPr>
        <w:t xml:space="preserve">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Style w:val="TableNormal"/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021"/>
        <w:gridCol w:w="1295"/>
        <w:gridCol w:w="1295"/>
        <w:gridCol w:w="1887"/>
      </w:tblGrid>
      <w:tr w14:paraId="2C6A6FB5" w14:textId="77777777" w:rsidTr="004F22AD">
        <w:tblPrEx>
          <w:tblW w:w="506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01135D" w:rsidRPr="0001135D" w:rsidP="0001135D" w14:paraId="68DA4A4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P="0001135D" w14:paraId="195F740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7DF4321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C33C4D4" w14:textId="7777777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0912AC58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paraId="0A4C2E07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P="00017AD8" w14:paraId="278E69A8" w14:textId="77777777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D7824D4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2529A7D8" w14:textId="77777777">
            <w:pPr>
              <w:jc w:val="center"/>
            </w:pPr>
            <w:r w:rsidRPr="0001135D">
              <w:t>60,00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4A18C03E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K002</w:t>
            </w:r>
          </w:p>
        </w:tc>
        <w:tc>
          <w:tcPr>
            <w:tcW w:w="3174" w:type="dxa"/>
            <w:vAlign w:val="center"/>
          </w:tcPr>
          <w:p w:rsidR="0001135D" w:rsidRPr="0001135D" w:rsidP="00017AD8" w14:textId="77777777">
            <w:pPr>
              <w:jc w:val="left"/>
            </w:pPr>
            <w:r w:rsidRPr="0001135D">
              <w:t>Kritérium kvality - podmínky a lhůta dodání nebo dokončení plnění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týden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jc w:val="center"/>
            </w:pPr>
            <w:r w:rsidRPr="0001135D">
              <w:t>15,00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K003</w:t>
            </w:r>
          </w:p>
        </w:tc>
        <w:tc>
          <w:tcPr>
            <w:tcW w:w="3174" w:type="dxa"/>
            <w:vAlign w:val="center"/>
          </w:tcPr>
          <w:p w:rsidR="0001135D" w:rsidRPr="0001135D" w:rsidP="00017AD8" w14:textId="77777777">
            <w:pPr>
              <w:jc w:val="left"/>
            </w:pPr>
            <w:r w:rsidRPr="0001135D">
              <w:t>Kritérium kvality - organizace, kvalifikace nebo zkušenost osob, které se mají přímo podílet na plnění veřejné zakázky v případě, že na úroveň plnění má významný dopad kvalita těchto osob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jc w:val="center"/>
            </w:pPr>
            <w:r w:rsidRPr="0001135D">
              <w:t>25,00</w:t>
            </w:r>
          </w:p>
        </w:tc>
        <w:tc>
          <w:tcPr>
            <w:tcW w:w="1361" w:type="dxa"/>
            <w:vAlign w:val="center"/>
          </w:tcPr>
          <w:p w:rsidR="0001135D" w:rsidRPr="0001135D" w:rsidP="0001135D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P="0001135D" w14:paraId="6D67C412" w14:textId="77777777">
      <w:pPr>
        <w:rPr>
          <w:sz w:val="12"/>
        </w:rPr>
      </w:pPr>
    </w:p>
    <w:p w:rsidR="0001135D" w:rsidP="0070402B" w14:paraId="40D9C540" w14:textId="77777777">
      <w:pPr>
        <w:jc w:val="left"/>
      </w:pPr>
    </w:p>
    <w:p w:rsidR="00AC434C" w:rsidRPr="00AC434C" w:rsidP="00E4282A" w14:paraId="7D70F280" w14:textId="77777777">
      <w:pPr>
        <w:keepNext/>
        <w:jc w:val="left"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:rsidR="00BA4863" w:rsidRPr="00BA4863" w:rsidP="00E4282A" w14:paraId="711418ED" w14:textId="77777777">
      <w:pPr>
        <w:keepNext/>
        <w:jc w:val="left"/>
      </w:pPr>
    </w:p>
    <w:p w:rsidR="00600A55" w:rsidRPr="006D125A" w:rsidP="00667258" w14:paraId="2BE0A49D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paraId="0A38E353" w14:textId="7015D992">
      <w:pPr>
        <w:keepNext/>
        <w:jc w:val="left"/>
      </w:pPr>
      <w:r w:rsidRPr="002467CE">
        <w:t xml:space="preserve">Kritérium hodnocení č. </w:t>
      </w:r>
      <w:r w:rsidRPr="002467CE">
        <w:t>K001</w:t>
      </w:r>
      <w:r w:rsidRPr="002467CE">
        <w:t xml:space="preserve"> - </w:t>
      </w:r>
      <w:r w:rsidRPr="002467CE">
        <w:t>Nabídková cena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600A55" w:rsidRPr="006D125A" w:rsidP="00667258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textId="7015D992">
      <w:pPr>
        <w:keepNext/>
        <w:jc w:val="left"/>
      </w:pPr>
      <w:r w:rsidRPr="002467CE">
        <w:t xml:space="preserve">Kritérium hodnocení č. </w:t>
      </w:r>
      <w:r w:rsidRPr="002467CE">
        <w:t>K002</w:t>
      </w:r>
      <w:r w:rsidRPr="002467CE">
        <w:t xml:space="preserve"> - </w:t>
      </w:r>
      <w:r w:rsidRPr="002467CE">
        <w:t>Kritérium kvality - podmínky a lhůta dodání nebo dokončení plnění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600A55" w:rsidRPr="006D125A" w:rsidP="00667258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textId="7015D992">
      <w:pPr>
        <w:keepNext/>
        <w:jc w:val="left"/>
      </w:pPr>
      <w:r w:rsidRPr="002467CE">
        <w:t xml:space="preserve">Kritérium hodnocení č. </w:t>
      </w:r>
      <w:r w:rsidRPr="002467CE">
        <w:t>K003</w:t>
      </w:r>
      <w:r w:rsidRPr="002467CE">
        <w:t xml:space="preserve"> - </w:t>
      </w:r>
      <w:r w:rsidRPr="002467CE">
        <w:t>Kritérium kvality - organizace, kvalifikace nebo zkušenost osob, které se mají přímo podílet na plnění veřejné zakázky v případě, že na úroveň plnění má významný dopad kvalita těchto osob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BA4863" w:rsidRPr="00BA4863" w:rsidP="00E4282A" w14:paraId="71AEFB60" w14:textId="77777777">
      <w:pPr>
        <w:keepNext/>
        <w:jc w:val="left"/>
      </w:pPr>
      <w:r w:rsidRPr="00BA4863">
        <w:t xml:space="preserve"> </w:t>
      </w:r>
    </w:p>
    <w:p w:rsidR="00D62E85" w:rsidP="005D2EE8" w14:paraId="2F3DA5FE" w14:textId="24428792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P="005D2EE8" w14:paraId="2757A1EA" w14:textId="77777777">
      <w:pPr>
        <w:keepNext/>
        <w:jc w:val="left"/>
        <w:rPr>
          <w:b/>
          <w:bCs/>
          <w:iCs/>
          <w:sz w:val="20"/>
          <w:szCs w:val="20"/>
        </w:rPr>
      </w:pPr>
    </w:p>
    <w:p w:rsidR="00970C2B" w:rsidP="00970C2B" w14:paraId="0AB79291" w14:textId="77777777">
      <w:pPr>
        <w:keepNext/>
        <w:jc w:val="left"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70C2B" w:rsidRPr="00712D07" w:rsidP="00970C2B" w14:paraId="6CEFC5BF" w14:textId="77777777">
      <w:pPr>
        <w:keepNext/>
        <w:jc w:val="left"/>
        <w:rPr>
          <w:i/>
        </w:rPr>
      </w:pPr>
    </w:p>
    <w:p w:rsidR="0006263A" w:rsidP="001125F0" w14:paraId="583CE99C" w14:textId="5D8FA196">
      <w:r>
        <w:t>H</w:t>
      </w:r>
      <w:r w:rsidRPr="008B7129">
        <w:t>odno</w:t>
      </w:r>
      <w:r>
        <w:t>cena bude nabídková cena</w:t>
      </w:r>
      <w:r>
        <w:t xml:space="preserve"> b</w:t>
      </w:r>
      <w:r w:rsidRPr="003B428C">
        <w:t>ez DPH</w:t>
      </w:r>
      <w:r>
        <w:t>.</w:t>
      </w:r>
    </w:p>
    <w:p w:rsidR="004F502C" w:rsidP="004F502C" w14:paraId="444C5249" w14:textId="25542E51">
      <w:r>
        <w:t>Vzorec pro výpočet bodové hodnoty u tohoto kritéria je následující:</w:t>
      </w:r>
    </w:p>
    <w:p w:rsidR="004F502C" w:rsidP="001125F0" w14:paraId="3EFD8B11" w14:textId="77777777">
      <w:r>
        <w:tab/>
        <w:t>Bodová hodnota = 100 * Hodnota nejvhodnější nabídky / Hodnota nabídky</w:t>
      </w:r>
    </w:p>
    <w:p w:rsidR="00640952" w:rsidP="004F502C" w14:paraId="7DDFE400" w14:textId="190B3F4B">
      <w:r>
        <w:t>Výsledná bodová hodnota tohoto kritéria bude následně započtena do vzorce pro stanovení výsledného pořadí nabídek.</w:t>
      </w:r>
    </w:p>
    <w:p w:rsidR="004F502C" w:rsidP="004F502C" w14:paraId="40513BF2" w14:textId="5F87DA3D"/>
    <w:p w:rsidR="00970C2B" w:rsidP="00970C2B" w14:textId="77777777">
      <w:pPr>
        <w:keepNext/>
        <w:jc w:val="left"/>
        <w:rPr>
          <w:bCs/>
        </w:rPr>
      </w:pPr>
      <w:r w:rsidRPr="00712D07">
        <w:rPr>
          <w:bCs/>
        </w:rPr>
        <w:t>4.2.2.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K002</w:t>
      </w:r>
      <w:r w:rsidRPr="00712D07">
        <w:rPr>
          <w:bCs/>
        </w:rPr>
        <w:t xml:space="preserve"> - </w:t>
      </w:r>
      <w:r w:rsidRPr="00712D07">
        <w:rPr>
          <w:bCs/>
        </w:rPr>
        <w:t>Kritérium kvality - podmínky a lhůta dodání nebo dokončení plnění</w:t>
      </w:r>
      <w:r>
        <w:rPr>
          <w:bCs/>
        </w:rPr>
        <w:t xml:space="preserve"> </w:t>
      </w:r>
    </w:p>
    <w:p w:rsidR="00970C2B" w:rsidRPr="00712D07" w:rsidP="00970C2B" w14:textId="77777777">
      <w:pPr>
        <w:keepNext/>
        <w:jc w:val="left"/>
        <w:rPr>
          <w:i/>
        </w:rPr>
      </w:pPr>
    </w:p>
    <w:p w:rsidR="00F14227" w:rsidP="001125F0" w14:paraId="406BC9F0" w14:textId="4FD17B5B">
      <w:r>
        <w:t>Vzorec pro výpočet bodové hodnoty u tohoto kritéria je následující:</w:t>
      </w:r>
    </w:p>
    <w:p w:rsidR="00F14227" w:rsidP="001125F0" w14:paraId="022ED2BC" w14:textId="77777777">
      <w:r>
        <w:tab/>
      </w:r>
      <w:r>
        <w:t>Bodová hodnota = 100 * Hodnota nejvhodnější nabídky / Hodnota nabídky</w:t>
      </w:r>
    </w:p>
    <w:p w:rsidR="00F14227" w:rsidP="001125F0" w14:paraId="595721E7" w14:textId="77777777">
      <w:r>
        <w:tab/>
      </w:r>
    </w:p>
    <w:p w:rsidR="00AF1160" w:rsidP="00F14227" w14:paraId="305DCFF8" w14:textId="6A36E03D">
      <w:r>
        <w:t>Výsledná bodová hodnota tohoto kritéria bude následně započtena do vzorce pro stanovení výsledného pořadí nabídek.</w:t>
      </w:r>
    </w:p>
    <w:p w:rsidR="00AF1160" w:rsidP="00F14227" w14:paraId="57EDEC50" w14:textId="77777777"/>
    <w:p w:rsidR="00970C2B" w:rsidP="00970C2B" w14:textId="77777777">
      <w:pPr>
        <w:keepNext/>
        <w:jc w:val="left"/>
        <w:rPr>
          <w:bCs/>
        </w:rPr>
      </w:pPr>
      <w:r w:rsidRPr="00712D07">
        <w:rPr>
          <w:bCs/>
        </w:rPr>
        <w:t>4.2.3.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K003</w:t>
      </w:r>
      <w:r w:rsidRPr="00712D07">
        <w:rPr>
          <w:bCs/>
        </w:rPr>
        <w:t xml:space="preserve"> - </w:t>
      </w:r>
      <w:r w:rsidRPr="00712D07">
        <w:rPr>
          <w:bCs/>
        </w:rPr>
        <w:t>Kritérium kvality - organizace, kvalifikace nebo zkušenost osob, které se mají přímo podílet na plnění veřejné zakázky v případě, že na úroveň plnění má významný dopad kvalita těchto osob</w:t>
      </w:r>
      <w:r>
        <w:rPr>
          <w:bCs/>
        </w:rPr>
        <w:t xml:space="preserve"> </w:t>
      </w:r>
    </w:p>
    <w:p w:rsidR="00970C2B" w:rsidRPr="00712D07" w:rsidP="00970C2B" w14:textId="77777777">
      <w:pPr>
        <w:keepNext/>
        <w:jc w:val="left"/>
        <w:rPr>
          <w:i/>
        </w:rPr>
      </w:pPr>
    </w:p>
    <w:p w:rsidR="00F14227" w:rsidP="00E211BC" w14:paraId="5DD74B9C" w14:textId="7AE4F320">
      <w:pPr>
        <w:tabs>
          <w:tab w:val="left" w:pos="780"/>
        </w:tabs>
      </w:pPr>
      <w:r w:rsidRPr="00AF7994">
        <w:t>Jedná se o</w:t>
      </w:r>
      <w:r>
        <w:t xml:space="preserve"> kritérium, u kterého zadavatel provede posouzení zadavatelem vymíněných vlastností. Zadavatel seřadí nabídky dle míry naplnění požadovaných vlastností a následně jednotlivým nabídkám přiřadí bodovou hodnotu a to tak, že nejlepší nabídce přiřadí 100 bodů a následujícím přiřadí bodovou hodnotu dle míry naplnění zadavatelem vymíněných vlastností.</w:t>
      </w:r>
    </w:p>
    <w:p w:rsidR="001125F0" w:rsidP="001E31EC" w14:paraId="09F8B5F6" w14:textId="24C80CA4">
      <w:pPr>
        <w:rPr>
          <w:u w:val="single"/>
        </w:rPr>
      </w:pPr>
    </w:p>
    <w:p w:rsidR="001125F0" w:rsidP="001125F0" w14:paraId="29AE639C" w14:textId="47777852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P="001125F0" w14:paraId="142CD1AE" w14:textId="51EF8478">
      <w:r w:rsidRPr="009A5210">
        <w:rPr>
          <w:bCs/>
        </w:rPr>
        <w:t>Pořadí nabídek bude stanoveno na základě následujícího vzorce:</w:t>
      </w:r>
    </w:p>
    <w:p w:rsidR="001125F0" w:rsidP="001125F0" w14:paraId="5583ABBF" w14:textId="5D36E2B1">
      <w:pPr>
        <w:ind w:firstLine="708"/>
      </w:pPr>
      <w:r w:rsidRPr="009A5210">
        <w:t>K001 * 0,6 + K002 * 0,15 + K003 * 0,25</w:t>
      </w:r>
    </w:p>
    <w:p w:rsidR="00CD4456" w:rsidP="001125F0" w14:paraId="1DA391D2" w14:textId="77777777">
      <w:pPr>
        <w:ind w:firstLine="708"/>
      </w:pPr>
    </w:p>
    <w:p w:rsidR="00172B5F" w:rsidRPr="001125F0" w:rsidP="001125F0" w14:paraId="0A60622F" w14:textId="434EE16B">
      <w:pPr>
        <w:rPr>
          <w:u w:val="single"/>
        </w:rPr>
      </w:pPr>
      <w:r w:rsidRPr="009D304E">
        <w:rPr>
          <w:shd w:val="clear" w:color="auto" w:fill="FFFFFF"/>
        </w:rPr>
        <w:t>V případě shodného hodnocení bude dodavatel vybrán automatickým losem</w:t>
      </w:r>
      <w:r w:rsidRPr="009D304E">
        <w:t>.</w:t>
      </w: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6D19ED" w14:paraId="402160B4" w14:textId="5E838413">
      <w:pPr>
        <w:pStyle w:val="Heading1"/>
      </w:pPr>
      <w:r w:rsidRPr="00781C9B">
        <w:t>5.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:rsidR="008510CE" w:rsidRPr="00781C9B" w:rsidP="008510CE" w14:paraId="5DE9FBAF" w14:textId="1CF704DE">
      <w:pPr>
        <w:widowControl w:val="0"/>
      </w:pPr>
      <w:r w:rsidRPr="00781C9B">
        <w:t xml:space="preserve">Nabídky musí být podány nejpozději do </w:t>
      </w:r>
      <w:r w:rsidRPr="00781C9B">
        <w:t>7.1.2024</w:t>
      </w:r>
      <w:r w:rsidRPr="00781C9B">
        <w:t xml:space="preserve"> </w:t>
      </w:r>
      <w:r w:rsidRPr="00781C9B">
        <w:t>00:00</w:t>
      </w:r>
      <w:r w:rsidRPr="00781C9B">
        <w:t>. Podáním nabídky se rozumí doručení nabídky zadavateli. Za včasné doručení odpovídá dodavatel.</w:t>
      </w:r>
    </w:p>
    <w:p w:rsidR="00DD714C" w:rsidRPr="00781C9B" w:rsidP="008510CE" w14:paraId="2055C824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032170" w:rsidP="008510CE" w14:paraId="65690602" w14:textId="07792837">
      <w:pPr>
        <w:widowControl w:val="0"/>
      </w:pPr>
    </w:p>
    <w:p w:rsidR="00D868AA" w:rsidP="008510CE" w14:paraId="4E087CAD" w14:textId="2AA05B5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D868AA" w:rsidP="008510CE" w14:paraId="64DCE15C" w14:textId="28DAE2CB">
      <w:pPr>
        <w:widowControl w:val="0"/>
      </w:pPr>
      <w:r w:rsidRPr="00FE4971" w:rsidR="00FE4971">
        <w:t xml:space="preserve">Zadavatel zvolil možnost, že nabídka dodavatele bude členěna na jednotlivé položky </w:t>
      </w:r>
      <w:r w:rsidR="008647D3">
        <w:t>odpovídající</w:t>
      </w:r>
      <w:r w:rsidR="0068699C">
        <w:t xml:space="preserve"> položkám </w:t>
      </w:r>
      <w:r w:rsidRPr="00FE4971" w:rsidR="00FE4971">
        <w:t>předmětu</w:t>
      </w:r>
      <w:r w:rsidR="0068699C">
        <w:t>, ke kterým bude dodavatel uvádět cenu za jednotku. Celková cena bude vypočtena systémem na základě vložených hodnot dodavatele</w:t>
      </w:r>
      <w:r w:rsidRPr="00FE4971" w:rsidR="00FE4971">
        <w:t>.</w:t>
      </w:r>
    </w:p>
    <w:p w:rsidR="00032170" w:rsidRPr="00781C9B" w:rsidP="008510CE" w14:paraId="40073B7C" w14:textId="438F1F66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8510CE" w14:paraId="05CD74BB" w14:textId="177D8AB1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Pr="00781C9B" w:rsidR="007A1842">
        <w:rPr>
          <w:bCs/>
        </w:rPr>
        <w:t>formě,</w:t>
      </w:r>
      <w:r w:rsidRPr="00781C9B">
        <w:rPr>
          <w:bCs/>
        </w:rPr>
        <w:t xml:space="preserve"> než zadavatel požadoval.</w:t>
      </w:r>
    </w:p>
    <w:p w:rsidR="008510CE" w:rsidP="006D19ED" w14:paraId="2F59A566" w14:textId="59EB928B">
      <w:pPr>
        <w:pStyle w:val="Heading1"/>
      </w:pPr>
      <w:r w:rsidRPr="00781C9B">
        <w:t>6.</w:t>
      </w:r>
      <w:r w:rsidRPr="00781C9B">
        <w:tab/>
        <w:t>Otevírání nabídek</w:t>
      </w:r>
    </w:p>
    <w:p w:rsidR="002537CF" w:rsidP="00A37148" w14:paraId="65F6C02B" w14:textId="77777777">
      <w:pPr>
        <w:keepNext/>
        <w:widowControl w:val="0"/>
        <w:spacing w:before="240"/>
      </w:pPr>
      <w:r w:rsidRPr="007D2AAC">
        <w:t xml:space="preserve">Otevírání nabídek se bude konat dne </w:t>
      </w:r>
      <w:r w:rsidRPr="007D2AAC">
        <w:t>7.1.2024</w:t>
      </w:r>
      <w:r w:rsidRPr="007D2AAC">
        <w:t xml:space="preserve"> od </w:t>
      </w:r>
      <w:r w:rsidRPr="007D2AAC">
        <w:t>00:00</w:t>
      </w:r>
      <w:r w:rsidR="0094705C">
        <w:t>.</w:t>
      </w:r>
    </w:p>
    <w:p w:rsidR="008510CE" w:rsidP="006D19ED" w14:paraId="766789C1" w14:textId="765BC1FA">
      <w:pPr>
        <w:pStyle w:val="Heading1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6" w:name="_Toc350412622"/>
      <w:bookmarkEnd w:id="5"/>
      <w:r w:rsidRPr="00781C9B">
        <w:t>7.1.</w:t>
      </w:r>
      <w:r w:rsidRPr="00781C9B">
        <w:tab/>
        <w:t>Variantní řešení nabídky</w:t>
      </w:r>
      <w:bookmarkEnd w:id="6"/>
    </w:p>
    <w:p w:rsidR="00CC397E" w:rsidP="00834691" w14:paraId="4049ACC2" w14:textId="79BC4FD1">
      <w:pPr>
        <w:spacing w:after="240"/>
      </w:pPr>
      <w:r w:rsidRPr="00781C9B">
        <w:t xml:space="preserve">Zadavatel nepřipouští varianty </w:t>
      </w:r>
      <w:r w:rsidRPr="00781C9B">
        <w:t>nabídky.</w:t>
      </w:r>
      <w:bookmarkStart w:id="7" w:name="_Toc350412629"/>
    </w:p>
    <w:p w:rsidR="008510CE" w:rsidRPr="00781C9B" w:rsidP="00CC397E" w14:paraId="39C3E04D" w14:textId="6575617F">
      <w:pPr>
        <w:pStyle w:val="Heading2"/>
      </w:pPr>
      <w:r w:rsidRPr="00781C9B">
        <w:t>7.2.</w:t>
      </w:r>
      <w:r w:rsidRPr="00781C9B">
        <w:tab/>
        <w:t>Další informace technické povahy</w:t>
      </w:r>
      <w:bookmarkEnd w:id="7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7.3.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P="00CC397E" w14:paraId="1FEB67B3" w14:textId="77777777">
      <w:pPr>
        <w:pStyle w:val="Heading2"/>
      </w:pPr>
      <w:r w:rsidRPr="00781C9B">
        <w:t>7.4.</w:t>
      </w:r>
      <w:r w:rsidRPr="00781C9B">
        <w:tab/>
        <w:t>Zadavatel si vyhrazuje právo</w:t>
      </w:r>
      <w:bookmarkEnd w:id="30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11.12.2023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Felix</w:t>
      </w:r>
      <w:r w:rsidRPr="00F82D77">
        <w:rPr>
          <w:bCs/>
        </w:rPr>
        <w:t xml:space="preserve"> </w:t>
      </w:r>
      <w:r w:rsidRPr="00F82D77">
        <w:t>Okátý</w:t>
      </w:r>
      <w:r w:rsidRPr="00F82D77">
        <w:rPr>
          <w:bCs/>
        </w:rPr>
        <w:t xml:space="preserve">, </w:t>
      </w:r>
      <w:r w:rsidRPr="00F82D77">
        <w:rPr>
          <w:bCs/>
        </w:rPr>
        <w:t>Zadavatel příručka</w:t>
      </w:r>
    </w:p>
    <w:p w:rsidR="009C706B" w:rsidP="00C63B11" w14:paraId="2437841D" w14:textId="77777777">
      <w:pPr>
        <w:widowControl w:val="0"/>
        <w:adjustRightInd w:val="0"/>
        <w:textAlignment w:val="baseline"/>
        <w:rPr>
          <w:b/>
        </w:rPr>
      </w:pPr>
    </w:p>
    <w:p w:rsidR="008510CE" w:rsidRPr="00781C9B" w:rsidP="009C706B" w14:paraId="508D0D9E" w14:textId="630043F2">
      <w:pPr>
        <w:keepLines/>
        <w:widowControl w:val="0"/>
        <w:adjustRightInd w:val="0"/>
        <w:textAlignment w:val="baseline"/>
        <w:rPr>
          <w:b/>
        </w:rPr>
      </w:pP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7D3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8647D3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7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7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7D3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  <w:r w:rsidRPr="00553445"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Blechová Petra">
    <w15:presenceInfo w15:providerId="AD" w15:userId="S-1-5-21-62665781-585388918-1256796775-3664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135D"/>
    <w:rsid w:val="00017387"/>
    <w:rsid w:val="00017AD8"/>
    <w:rsid w:val="00032170"/>
    <w:rsid w:val="0006263A"/>
    <w:rsid w:val="00067CD4"/>
    <w:rsid w:val="00082D29"/>
    <w:rsid w:val="000C148F"/>
    <w:rsid w:val="000D5700"/>
    <w:rsid w:val="001125F0"/>
    <w:rsid w:val="00145662"/>
    <w:rsid w:val="00153CD5"/>
    <w:rsid w:val="00172B5F"/>
    <w:rsid w:val="001E31EC"/>
    <w:rsid w:val="00213910"/>
    <w:rsid w:val="002467CE"/>
    <w:rsid w:val="002537CF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B428C"/>
    <w:rsid w:val="003E0388"/>
    <w:rsid w:val="003E3C10"/>
    <w:rsid w:val="003F7732"/>
    <w:rsid w:val="004218D4"/>
    <w:rsid w:val="00430471"/>
    <w:rsid w:val="00434235"/>
    <w:rsid w:val="0047190D"/>
    <w:rsid w:val="004C32B6"/>
    <w:rsid w:val="004F502C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8699C"/>
    <w:rsid w:val="006D125A"/>
    <w:rsid w:val="006D19ED"/>
    <w:rsid w:val="006E3D48"/>
    <w:rsid w:val="006F0885"/>
    <w:rsid w:val="006F4857"/>
    <w:rsid w:val="0070402B"/>
    <w:rsid w:val="00712D07"/>
    <w:rsid w:val="00756A9E"/>
    <w:rsid w:val="00781C9B"/>
    <w:rsid w:val="00786F00"/>
    <w:rsid w:val="007A1842"/>
    <w:rsid w:val="007B5B89"/>
    <w:rsid w:val="007D2AAC"/>
    <w:rsid w:val="007E188C"/>
    <w:rsid w:val="007F57FD"/>
    <w:rsid w:val="00823A07"/>
    <w:rsid w:val="00834691"/>
    <w:rsid w:val="008379B0"/>
    <w:rsid w:val="008510CE"/>
    <w:rsid w:val="008647D3"/>
    <w:rsid w:val="00866A40"/>
    <w:rsid w:val="008861A1"/>
    <w:rsid w:val="008B7129"/>
    <w:rsid w:val="009100D4"/>
    <w:rsid w:val="00926E74"/>
    <w:rsid w:val="0094705C"/>
    <w:rsid w:val="0096282C"/>
    <w:rsid w:val="00970C2B"/>
    <w:rsid w:val="009A30CD"/>
    <w:rsid w:val="009A5210"/>
    <w:rsid w:val="009B58A6"/>
    <w:rsid w:val="009C411D"/>
    <w:rsid w:val="009C706B"/>
    <w:rsid w:val="009D304E"/>
    <w:rsid w:val="00A233E2"/>
    <w:rsid w:val="00A37148"/>
    <w:rsid w:val="00A65BF3"/>
    <w:rsid w:val="00AB097D"/>
    <w:rsid w:val="00AC434C"/>
    <w:rsid w:val="00AF1160"/>
    <w:rsid w:val="00AF6FB3"/>
    <w:rsid w:val="00AF782B"/>
    <w:rsid w:val="00AF7994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24645"/>
    <w:rsid w:val="00C34182"/>
    <w:rsid w:val="00C63B11"/>
    <w:rsid w:val="00C74358"/>
    <w:rsid w:val="00CC397E"/>
    <w:rsid w:val="00CD02E3"/>
    <w:rsid w:val="00CD0CAD"/>
    <w:rsid w:val="00CD4456"/>
    <w:rsid w:val="00CD6F28"/>
    <w:rsid w:val="00CF465C"/>
    <w:rsid w:val="00D62E85"/>
    <w:rsid w:val="00D868AA"/>
    <w:rsid w:val="00DB13DA"/>
    <w:rsid w:val="00DB162F"/>
    <w:rsid w:val="00DC4495"/>
    <w:rsid w:val="00DD2911"/>
    <w:rsid w:val="00DD714C"/>
    <w:rsid w:val="00DF0482"/>
    <w:rsid w:val="00E17873"/>
    <w:rsid w:val="00E211BC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14227"/>
    <w:rsid w:val="00F4692D"/>
    <w:rsid w:val="00F509A7"/>
    <w:rsid w:val="00F70159"/>
    <w:rsid w:val="00F81FD5"/>
    <w:rsid w:val="00F82D77"/>
    <w:rsid w:val="00FD09E4"/>
    <w:rsid w:val="00FE497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B2DB7-E185-49CA-9589-783BD0B4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